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2" w:rsidRDefault="009D5BD2"/>
    <w:tbl>
      <w:tblPr>
        <w:tblStyle w:val="a3"/>
        <w:tblW w:w="0" w:type="auto"/>
        <w:tblInd w:w="-524" w:type="dxa"/>
        <w:tblLook w:val="04A0"/>
      </w:tblPr>
      <w:tblGrid>
        <w:gridCol w:w="4785"/>
        <w:gridCol w:w="4785"/>
      </w:tblGrid>
      <w:tr w:rsidR="000A00D4" w:rsidRPr="000A00D4" w:rsidTr="000A00D4">
        <w:tc>
          <w:tcPr>
            <w:tcW w:w="4785" w:type="dxa"/>
          </w:tcPr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</w:p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0D4" w:rsidRPr="000A00D4" w:rsidRDefault="000A00D4" w:rsidP="00967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Протокол от  №1 от 30.08.202</w:t>
            </w:r>
            <w:r w:rsidR="00967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0A00D4" w:rsidRPr="000A00D4" w:rsidRDefault="000A00D4" w:rsidP="0046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00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приказом Муниципального бюджетного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дополнительного образования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00D4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Pr="000A00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0D4" w:rsidRPr="000A00D4" w:rsidRDefault="000A00D4" w:rsidP="0096745F">
            <w:pPr>
              <w:jc w:val="center"/>
              <w:rPr>
                <w:rFonts w:ascii="Times New Roman" w:hAnsi="Times New Roman" w:cs="Times New Roman"/>
              </w:rPr>
            </w:pP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 3</w:t>
            </w:r>
            <w:r w:rsidR="00967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967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 № 1</w:t>
            </w:r>
            <w:r w:rsidR="00967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A0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/од</w:t>
            </w:r>
          </w:p>
        </w:tc>
      </w:tr>
    </w:tbl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Pr="002D38AC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8AC">
        <w:rPr>
          <w:rFonts w:ascii="Times New Roman" w:hAnsi="Times New Roman" w:cs="Times New Roman"/>
          <w:b/>
          <w:sz w:val="36"/>
          <w:szCs w:val="36"/>
        </w:rPr>
        <w:t>«</w:t>
      </w:r>
      <w:r w:rsidR="00502DC3">
        <w:rPr>
          <w:rFonts w:ascii="Times New Roman" w:hAnsi="Times New Roman" w:cs="Times New Roman"/>
          <w:b/>
          <w:sz w:val="36"/>
          <w:szCs w:val="36"/>
        </w:rPr>
        <w:t>Духовые и ударные</w:t>
      </w:r>
      <w:r w:rsidR="002D38AC" w:rsidRPr="002D38AC">
        <w:rPr>
          <w:rFonts w:ascii="Times New Roman" w:hAnsi="Times New Roman" w:cs="Times New Roman"/>
          <w:b/>
          <w:sz w:val="36"/>
          <w:szCs w:val="36"/>
        </w:rPr>
        <w:t xml:space="preserve"> инструменты</w:t>
      </w:r>
      <w:r w:rsidRPr="002D38AC">
        <w:rPr>
          <w:rFonts w:ascii="Times New Roman" w:hAnsi="Times New Roman" w:cs="Times New Roman"/>
          <w:b/>
          <w:sz w:val="36"/>
          <w:szCs w:val="36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02DC3" w:rsidRDefault="00D73AE8" w:rsidP="00502DC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02DC3" w:rsidRPr="00105B5D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AC" w:rsidRDefault="002D38AC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F43AC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3AC7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F43AC7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F43AC7" w:rsidRPr="00F77445">
        <w:rPr>
          <w:rFonts w:ascii="Times New Roman" w:hAnsi="Times New Roman" w:cs="Times New Roman"/>
          <w:sz w:val="28"/>
          <w:szCs w:val="28"/>
        </w:rPr>
        <w:t>»</w:t>
      </w:r>
      <w:r w:rsidR="00F43AC7">
        <w:rPr>
          <w:rFonts w:ascii="Times New Roman" w:hAnsi="Times New Roman" w:cs="Times New Roman"/>
          <w:sz w:val="28"/>
          <w:szCs w:val="28"/>
        </w:rPr>
        <w:t xml:space="preserve">) </w:t>
      </w:r>
      <w:r w:rsidR="00F43AC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8A9" w:rsidRPr="00F77445">
        <w:rPr>
          <w:rFonts w:ascii="Times New Roman" w:hAnsi="Times New Roman" w:cs="Times New Roman"/>
          <w:sz w:val="28"/>
          <w:szCs w:val="28"/>
        </w:rPr>
        <w:t>«</w:t>
      </w:r>
      <w:r w:rsidR="008538A9">
        <w:rPr>
          <w:rFonts w:ascii="Times New Roman" w:hAnsi="Times New Roman" w:cs="Times New Roman"/>
          <w:sz w:val="28"/>
          <w:szCs w:val="28"/>
        </w:rPr>
        <w:t>Духовые и</w:t>
      </w:r>
      <w:proofErr w:type="gramEnd"/>
      <w:r w:rsidR="008538A9">
        <w:rPr>
          <w:rFonts w:ascii="Times New Roman" w:hAnsi="Times New Roman" w:cs="Times New Roman"/>
          <w:sz w:val="28"/>
          <w:szCs w:val="28"/>
        </w:rPr>
        <w:t xml:space="preserve"> ударные инструменты</w:t>
      </w:r>
      <w:r w:rsidR="008538A9" w:rsidRPr="00F77445">
        <w:rPr>
          <w:rFonts w:ascii="Times New Roman" w:hAnsi="Times New Roman" w:cs="Times New Roman"/>
          <w:sz w:val="28"/>
          <w:szCs w:val="28"/>
        </w:rPr>
        <w:t>»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12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</w:t>
      </w:r>
      <w:r w:rsidR="008538A9">
        <w:rPr>
          <w:rFonts w:ascii="Times New Roman" w:hAnsi="Times New Roman" w:cs="Times New Roman"/>
          <w:bCs/>
          <w:sz w:val="28"/>
          <w:szCs w:val="28"/>
        </w:rPr>
        <w:t>3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538A9">
        <w:rPr>
          <w:rFonts w:ascii="Times New Roman" w:hAnsi="Times New Roman" w:cs="Times New Roman"/>
          <w:bCs/>
          <w:sz w:val="28"/>
          <w:szCs w:val="28"/>
        </w:rPr>
        <w:t>165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sz w:val="28"/>
          <w:szCs w:val="28"/>
        </w:rPr>
        <w:t>«</w:t>
      </w:r>
      <w:r w:rsidR="00502DC3">
        <w:rPr>
          <w:sz w:val="28"/>
          <w:szCs w:val="28"/>
        </w:rPr>
        <w:t>Духовые и ударные инструменты</w:t>
      </w:r>
      <w:r w:rsidR="00502DC3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lastRenderedPageBreak/>
        <w:t xml:space="preserve">Программа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преемственности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>и 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502DC3" w:rsidRPr="00F77445">
        <w:rPr>
          <w:sz w:val="28"/>
          <w:szCs w:val="28"/>
        </w:rPr>
        <w:t>«</w:t>
      </w:r>
      <w:r w:rsidR="00502DC3">
        <w:rPr>
          <w:sz w:val="28"/>
          <w:szCs w:val="28"/>
        </w:rPr>
        <w:t>Духовые и ударные инструменты</w:t>
      </w:r>
      <w:r w:rsidR="00502DC3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процессе, уважительного отношения к иному мнению и художественно-эстетическим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для детей, поступивших 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8538A9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</w:t>
      </w:r>
      <w:r w:rsidR="008538A9" w:rsidRPr="008538A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8538A9" w:rsidRPr="008538A9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8538A9" w:rsidRPr="008538A9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духовом или ударном инструменте. 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8538A9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Освоение обучающимися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502DC3"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D38AC" w:rsidRPr="002D38AC" w:rsidRDefault="002D38AC" w:rsidP="008538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38AC">
        <w:rPr>
          <w:rFonts w:ascii="Times New Roman" w:hAnsi="Times New Roman" w:cs="Times New Roman"/>
          <w:bCs/>
          <w:sz w:val="28"/>
          <w:szCs w:val="28"/>
        </w:rPr>
        <w:t xml:space="preserve">Минимум содержания </w:t>
      </w:r>
      <w:r w:rsidRPr="002D38AC">
        <w:rPr>
          <w:rStyle w:val="FontStyle16"/>
          <w:sz w:val="28"/>
          <w:szCs w:val="28"/>
        </w:rPr>
        <w:t xml:space="preserve">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>»</w:t>
      </w:r>
      <w:r w:rsidRPr="002D38AC">
        <w:rPr>
          <w:rStyle w:val="FontStyle16"/>
          <w:sz w:val="28"/>
          <w:szCs w:val="28"/>
        </w:rPr>
        <w:t xml:space="preserve"> </w:t>
      </w:r>
      <w:r w:rsidRPr="002D38AC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D38AC" w:rsidRPr="002D38AC" w:rsidRDefault="002D38AC" w:rsidP="00853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bCs/>
          <w:sz w:val="28"/>
          <w:szCs w:val="28"/>
        </w:rPr>
        <w:tab/>
      </w:r>
      <w:r w:rsidR="000A00D4">
        <w:rPr>
          <w:rFonts w:ascii="Times New Roman" w:hAnsi="Times New Roman" w:cs="Times New Roman"/>
          <w:bCs/>
          <w:sz w:val="28"/>
          <w:szCs w:val="28"/>
        </w:rPr>
        <w:t>2.1.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2D38AC">
        <w:rPr>
          <w:rFonts w:ascii="Times New Roman" w:hAnsi="Times New Roman" w:cs="Times New Roman"/>
          <w:sz w:val="28"/>
          <w:szCs w:val="28"/>
        </w:rPr>
        <w:t xml:space="preserve">является приобретение обучающимися следующих знаний, умений и навыков в предметных областях: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в области музыкального исполнительства: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знания художественно-эстетических, технических особенностей, характерных для сольного, ансамблевого и (или) оркестрового исполнительства; - знания музыкальной терминологии;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соло, в ансамбле/оркестре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lastRenderedPageBreak/>
        <w:t xml:space="preserve">- умения самостоятельно разучивать музыкальные произведения различных жанров и стилей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самостоятельно преодолевать технические трудности при разучивании несложного музыкального произведения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создавать художественный образ при исполнении музыкального произведения на духовом или ударном инструменте;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игры на фортепиано несложных музыкальных произведений различных стилей и жанров;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подбора по слуху;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первичных навыков в области теоретического анализа исполняемых произведений;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 </w:t>
      </w:r>
    </w:p>
    <w:p w:rsidR="004E6097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знания музыкальной грамоты;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 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 - первичные знания в области строения классических музыкальных форм;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умения использовать полученные теоретические знания при исполнительстве музыкальных произведений на духовом или ударном инструменте, фортепиано;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lastRenderedPageBreak/>
        <w:t xml:space="preserve"> - навыков восприятия музыкальных произведений различных стилей и жанров, созданных в разные исторические периоды</w:t>
      </w:r>
      <w:proofErr w:type="gramStart"/>
      <w:r w:rsidRPr="008538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38A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38A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38A9">
        <w:rPr>
          <w:rFonts w:ascii="Times New Roman" w:hAnsi="Times New Roman" w:cs="Times New Roman"/>
          <w:sz w:val="28"/>
          <w:szCs w:val="28"/>
        </w:rPr>
        <w:t xml:space="preserve">авыков восприятия элементов музыкального языка; </w:t>
      </w:r>
    </w:p>
    <w:p w:rsidR="008538A9" w:rsidRPr="008538A9" w:rsidRDefault="008538A9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 xml:space="preserve">- навыков анализа музыкального произведения; - навыков записи музыкального текста по слуху; - навыков вокального исполнения музыкального текста; </w:t>
      </w:r>
    </w:p>
    <w:p w:rsidR="002D38AC" w:rsidRPr="008538A9" w:rsidRDefault="008538A9" w:rsidP="008538A9">
      <w:pPr>
        <w:jc w:val="both"/>
        <w:rPr>
          <w:rFonts w:ascii="Times New Roman" w:hAnsi="Times New Roman" w:cs="Times New Roman"/>
          <w:sz w:val="28"/>
          <w:szCs w:val="28"/>
        </w:rPr>
      </w:pPr>
      <w:r w:rsidRPr="008538A9">
        <w:rPr>
          <w:rFonts w:ascii="Times New Roman" w:hAnsi="Times New Roman" w:cs="Times New Roman"/>
          <w:sz w:val="28"/>
          <w:szCs w:val="28"/>
        </w:rPr>
        <w:t>- первичных навыков и умений по сочинению музыкального текста.</w:t>
      </w:r>
      <w:r w:rsidR="002D38AC" w:rsidRPr="00853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8AC" w:rsidRPr="002D38AC" w:rsidRDefault="000A00D4" w:rsidP="008538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с дополнительным годом обучения, является приобретение обучающимися следующих знаний, умений и навыков в предметных областях: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 - знания основного репертуара для духового или ударного инструмента (инструментов духового или эстрадно-джазового оркестра);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знания ансамблевого и оркестрового репертуара для духовых или ударных инструментов, в том числе инструментов эстрадно-джазового оркестра;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в области теории и истории музыки: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- первичные знания в области основных эстетических и стилевых направлений в области музыкального, изобразительного, театрального и киноискусства;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 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4E6097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E6097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lastRenderedPageBreak/>
        <w:t xml:space="preserve">- навыков сочинения и импровизации музыкального текста; </w:t>
      </w:r>
    </w:p>
    <w:p w:rsidR="002D38AC" w:rsidRPr="004E6097" w:rsidRDefault="004E6097" w:rsidP="004E6097">
      <w:pPr>
        <w:jc w:val="both"/>
        <w:rPr>
          <w:rFonts w:ascii="Times New Roman" w:hAnsi="Times New Roman" w:cs="Times New Roman"/>
          <w:sz w:val="28"/>
          <w:szCs w:val="28"/>
        </w:rPr>
      </w:pPr>
      <w:r w:rsidRPr="004E6097">
        <w:rPr>
          <w:rFonts w:ascii="Times New Roman" w:hAnsi="Times New Roman" w:cs="Times New Roman"/>
          <w:sz w:val="28"/>
          <w:szCs w:val="28"/>
        </w:rPr>
        <w:t xml:space="preserve">- навыков восприятия современной музыки.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>»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 по учебным предметам обязательной части должны отражать: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>2.3.1.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Специальность: наличие у обучающегося интереса к музыкальному искусству, самостоятельному музыкальному исполнительству;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– знание репертуара для народного или национального инструмента, включающего произведения разных стилей и жанров в соответствии с  программными требованиями;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профессиональной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читать с листа несложные музыкальные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-навыки по воспитанию слухового контроля, умению управлять процессом исполнения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работы в качестве солиста. </w:t>
      </w:r>
      <w:r w:rsidR="000A00D4">
        <w:rPr>
          <w:rFonts w:ascii="Times New Roman" w:hAnsi="Times New Roman" w:cs="Times New Roman"/>
          <w:sz w:val="28"/>
          <w:szCs w:val="28"/>
        </w:rPr>
        <w:t xml:space="preserve">2.3.2. </w:t>
      </w:r>
      <w:r w:rsidRPr="002D38AC">
        <w:rPr>
          <w:rFonts w:ascii="Times New Roman" w:hAnsi="Times New Roman" w:cs="Times New Roman"/>
          <w:sz w:val="28"/>
          <w:szCs w:val="28"/>
        </w:rPr>
        <w:t xml:space="preserve">Ансамбль: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Фортепиано: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инструментальных и художественных особенностей и возможностей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2D38AC" w:rsidRPr="000A00D4" w:rsidRDefault="002D38AC" w:rsidP="000A00D4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0D4">
        <w:rPr>
          <w:rFonts w:ascii="Times New Roman" w:hAnsi="Times New Roman" w:cs="Times New Roman"/>
          <w:sz w:val="28"/>
          <w:szCs w:val="28"/>
        </w:rPr>
        <w:t xml:space="preserve">Хоровой класс: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Сольфеджио: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импровизировать на заданные музыкальные темы или ритмические построения; – навыки владения элементами музыкального языка (исполнение на инструменте, запись по слуху и т.п.).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 xml:space="preserve">2.3.6. </w:t>
      </w:r>
      <w:r w:rsidRPr="002D38AC">
        <w:rPr>
          <w:rFonts w:ascii="Times New Roman" w:hAnsi="Times New Roman" w:cs="Times New Roman"/>
          <w:sz w:val="28"/>
          <w:szCs w:val="28"/>
        </w:rPr>
        <w:t xml:space="preserve">Слушание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A00D4">
        <w:rPr>
          <w:rFonts w:ascii="Times New Roman" w:hAnsi="Times New Roman" w:cs="Times New Roman"/>
          <w:sz w:val="28"/>
          <w:szCs w:val="28"/>
        </w:rPr>
        <w:t>2.3.7.</w:t>
      </w:r>
      <w:r w:rsidRPr="002D38AC"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– знание творческих биографий зарубежных и отечественных композиторов согласно программным требованиям;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– умение исполнять на музыкальном инструменте тематический материал пройденных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– знание основных исторических периодов развития зарубежного и отечественного музыкального искусства во взаимосвязи с другими видами  искусств (изобразительного, театрального, киноискусства, литературы), основные стилистические направления, жанры; – знание особенностей национальных традиций, фольклорных истоков музыки; – знание профессиональной музыкальной терминологии;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в устной и письменной форме излагать свои мысли о творчестве композиторов; – умение определять на слух фрагменты того или иного изученного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38AC" w:rsidRPr="002D38AC" w:rsidRDefault="000A00D4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Элементарная теория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, отклонение, модуляция);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 xml:space="preserve">Учебный план программы </w:t>
      </w:r>
      <w:r w:rsidR="00502DC3" w:rsidRPr="00F77445">
        <w:rPr>
          <w:rFonts w:ascii="Times New Roman" w:hAnsi="Times New Roman" w:cs="Times New Roman"/>
          <w:sz w:val="28"/>
          <w:szCs w:val="28"/>
        </w:rPr>
        <w:t>«</w:t>
      </w:r>
      <w:r w:rsidR="00502DC3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502DC3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lastRenderedPageBreak/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F43AC7" w:rsidRPr="00502DC3" w:rsidRDefault="00502DC3" w:rsidP="00502DC3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502DC3">
        <w:rPr>
          <w:rFonts w:ascii="Times New Roman" w:hAnsi="Times New Roman" w:cs="Times New Roman"/>
          <w:sz w:val="28"/>
          <w:szCs w:val="28"/>
        </w:rPr>
        <w:t xml:space="preserve">При реализации программы "Духовые и ударные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 ПО.01.Музыкальное исполнительство: УП.01.Специальность - 559 часов, УП.02.Ансамбль - 165 часов, УП.03.Фортепиано - 99 часов, УП.04.Хоровой класс - 98 часов; ПО.02.Теория и история музыки: УП.01.Сольфеджио - 378,5 часа, УП.02.Слушание музыки - 98 часов, УП. 03.Музыкальная литература (зарубежная, отечественная) - 181,5 часа. При реализации программы "Духовые и ударные инструменты" с дополнительным годом обучения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- 641,5 часа, УП.02. Ансамбль - 231 час, УП.03.Фортепиано - 99 часов, УП.04.Хоровой класс - 98 часов; ОП.02.Теория и история музыки: УП.01.Сольфеджио - 428 часов, УП.02.Слушание музыки - 98 часов, УП.03. Музыкальная литература (зарубежная, отечественная) - 231 час, УП.04.Элементарная теория музыки - 33 часа. При реализации программы "Духовые и ударные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</w:t>
      </w:r>
      <w:r w:rsidRPr="00502DC3">
        <w:rPr>
          <w:rFonts w:ascii="Times New Roman" w:hAnsi="Times New Roman" w:cs="Times New Roman"/>
          <w:sz w:val="28"/>
          <w:szCs w:val="28"/>
        </w:rPr>
        <w:lastRenderedPageBreak/>
        <w:t xml:space="preserve">ПО.01.Музыкальное исполнительство: УП.01.Специальность - 363 часа, УП.02. Ансамбль - 132 часа, УП.03.Фортепиано - 82,5 часа, УП.04.Хоровой класс - 33 часа; ПО.02.Теория и история музыки: УП.01.Сольфеджио - 247,5 часа, УП.02.Музыкальная литература (зарубежная, отечественная) - 181,5 часа. При реализации программы "Духовые и ударные инструменты" с дополнительным годом обучения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502D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02DC3">
        <w:rPr>
          <w:rFonts w:ascii="Times New Roman" w:hAnsi="Times New Roman" w:cs="Times New Roman"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 ПО.01. Музыкальное исполнительство: УП.01.Специальность - 445,5 часа, УП.02.Ансамбль - 198 часов, УП.03.Фортепиано - 82,5 часа, УП.04.Хоровой класс - 33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 </w:t>
      </w:r>
    </w:p>
    <w:p w:rsidR="00BB63F6" w:rsidRPr="00BB63F6" w:rsidRDefault="00BB63F6" w:rsidP="00F43AC7">
      <w:pPr>
        <w:pStyle w:val="ae"/>
        <w:spacing w:before="1" w:line="36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F43AC7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F43AC7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lastRenderedPageBreak/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F43AC7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2DC3"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z w:val="28"/>
          <w:szCs w:val="28"/>
        </w:rPr>
        <w:t>).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8B6F66" w:rsidRPr="008B6F66" w:rsidRDefault="00502DC3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66">
        <w:rPr>
          <w:rFonts w:ascii="Times New Roman" w:hAnsi="Times New Roman" w:cs="Times New Roman"/>
          <w:sz w:val="28"/>
          <w:szCs w:val="28"/>
        </w:rPr>
        <w:t xml:space="preserve">ДМШ  должно обеспечивать изучение учебного предмета "Хоровой класс"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502DC3" w:rsidRPr="008B6F66" w:rsidRDefault="008B6F66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F66">
        <w:rPr>
          <w:rFonts w:ascii="Times New Roman" w:hAnsi="Times New Roman" w:cs="Times New Roman"/>
          <w:sz w:val="28"/>
          <w:szCs w:val="28"/>
        </w:rPr>
        <w:t>ДМШ</w:t>
      </w:r>
      <w:r w:rsidR="00502DC3" w:rsidRPr="008B6F66">
        <w:rPr>
          <w:rFonts w:ascii="Times New Roman" w:hAnsi="Times New Roman" w:cs="Times New Roman"/>
          <w:sz w:val="28"/>
          <w:szCs w:val="28"/>
        </w:rPr>
        <w:t xml:space="preserve">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</w:t>
      </w:r>
      <w:proofErr w:type="gramStart"/>
      <w:r w:rsidR="00502DC3" w:rsidRPr="008B6F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2DC3" w:rsidRPr="008B6F66">
        <w:rPr>
          <w:rFonts w:ascii="Times New Roman" w:hAnsi="Times New Roman" w:cs="Times New Roman"/>
          <w:sz w:val="28"/>
          <w:szCs w:val="28"/>
        </w:rPr>
        <w:t xml:space="preserve"> с целью реализации в вариативной части ОП учебного предмета "Оркестровый класс". В случае реализации в вариативной части ОП учебного предмета "Оркестровый класс" учебные оркестровые коллективы могут доукомплектовываться приглашенными артистами до 25 процентов от необходимого состава оркестра. Оркестровые и хоровые учебные коллективы </w:t>
      </w:r>
      <w:r w:rsidR="00502DC3" w:rsidRPr="008B6F66">
        <w:rPr>
          <w:rFonts w:ascii="Times New Roman" w:hAnsi="Times New Roman" w:cs="Times New Roman"/>
          <w:sz w:val="28"/>
          <w:szCs w:val="28"/>
        </w:rPr>
        <w:lastRenderedPageBreak/>
        <w:t xml:space="preserve">должны участвовать в творческих мероприятиях и культурно-просветительской деятельности </w:t>
      </w:r>
      <w:r w:rsidRPr="008B6F66">
        <w:rPr>
          <w:rFonts w:ascii="Times New Roman" w:hAnsi="Times New Roman" w:cs="Times New Roman"/>
          <w:sz w:val="28"/>
          <w:szCs w:val="28"/>
        </w:rPr>
        <w:t>ДМШ</w:t>
      </w:r>
      <w:r w:rsidR="00502DC3" w:rsidRPr="008B6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6272EE" w:rsidRDefault="006272EE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EE">
        <w:rPr>
          <w:rFonts w:ascii="Times New Roman" w:hAnsi="Times New Roman" w:cs="Times New Roman"/>
          <w:sz w:val="28"/>
          <w:szCs w:val="28"/>
        </w:rPr>
        <w:t xml:space="preserve">Реализация программы "Духовые и ударные инструменты" обеспечивается консультациями для </w:t>
      </w:r>
      <w:proofErr w:type="gramStart"/>
      <w:r w:rsidRPr="006272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72EE">
        <w:rPr>
          <w:rFonts w:ascii="Times New Roman" w:hAnsi="Times New Roman" w:cs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ДМШ из расчета одной недели в учебном году. В случае</w:t>
      </w:r>
      <w:proofErr w:type="gramStart"/>
      <w:r w:rsidRPr="006272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72EE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 xml:space="preserve">Максимальная аудиторная учебная нагрузка по всем учебным предметам учебного плана не должна превышать 14 часов в неделю. Объем </w:t>
      </w:r>
      <w:r w:rsidRPr="009840BF">
        <w:rPr>
          <w:rFonts w:ascii="Times New Roman" w:hAnsi="Times New Roman" w:cs="Times New Roman"/>
          <w:sz w:val="28"/>
          <w:szCs w:val="28"/>
        </w:rPr>
        <w:lastRenderedPageBreak/>
        <w:t>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- 40 недель. 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3721" w:rsidRPr="00F77445">
        <w:rPr>
          <w:rFonts w:ascii="Times New Roman" w:hAnsi="Times New Roman" w:cs="Times New Roman"/>
          <w:sz w:val="28"/>
          <w:szCs w:val="28"/>
        </w:rPr>
        <w:t>«</w:t>
      </w:r>
      <w:r w:rsidR="001C372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1C3721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восьмом классе составляет 39 недель, в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>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недели. При реализации программы </w:t>
      </w:r>
      <w:r w:rsidR="001C3721" w:rsidRPr="00F77445">
        <w:rPr>
          <w:rFonts w:ascii="Times New Roman" w:hAnsi="Times New Roman" w:cs="Times New Roman"/>
          <w:sz w:val="28"/>
          <w:szCs w:val="28"/>
        </w:rPr>
        <w:t>«</w:t>
      </w:r>
      <w:r w:rsidR="001C372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1C3721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C807F3">
        <w:rPr>
          <w:rFonts w:ascii="Times New Roman" w:hAnsi="Times New Roman" w:cs="Times New Roman"/>
          <w:sz w:val="28"/>
          <w:szCs w:val="28"/>
        </w:rPr>
        <w:t xml:space="preserve">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lastRenderedPageBreak/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P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21" w:rsidRDefault="001C3721" w:rsidP="001C3721">
      <w:pPr>
        <w:spacing w:after="0"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8B6F66">
        <w:rPr>
          <w:rFonts w:ascii="Times New Roman" w:hAnsi="Times New Roman" w:cs="Times New Roman"/>
          <w:b/>
          <w:spacing w:val="-2"/>
          <w:sz w:val="28"/>
        </w:rPr>
        <w:t xml:space="preserve">ДУХОВЫЕ И УДАРНЫЕ </w:t>
      </w:r>
      <w:r w:rsidR="00C13199">
        <w:rPr>
          <w:rFonts w:ascii="Times New Roman" w:hAnsi="Times New Roman" w:cs="Times New Roman"/>
          <w:b/>
          <w:spacing w:val="-2"/>
          <w:sz w:val="28"/>
        </w:rPr>
        <w:t>ИНСТРУМЕНТЫ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C279AF">
        <w:rPr>
          <w:rFonts w:ascii="Times New Roman" w:hAnsi="Times New Roman" w:cs="Times New Roman"/>
          <w:sz w:val="28"/>
          <w:szCs w:val="28"/>
        </w:rPr>
        <w:t>Духовые и ударные</w:t>
      </w:r>
      <w:r w:rsidR="002D38AC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Федерации от 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F77445" w:rsidRPr="00CF36D6">
        <w:rPr>
          <w:sz w:val="28"/>
          <w:szCs w:val="28"/>
        </w:rPr>
        <w:t>«</w:t>
      </w:r>
      <w:r w:rsidR="00C279AF">
        <w:rPr>
          <w:sz w:val="28"/>
          <w:szCs w:val="28"/>
        </w:rPr>
        <w:t>Духовые и ударные инструменты</w:t>
      </w:r>
      <w:r w:rsidR="00F77445" w:rsidRPr="00CF36D6">
        <w:rPr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882C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2C4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8B6F66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Pr="00882C47">
        <w:rPr>
          <w:rFonts w:ascii="Times New Roman" w:hAnsi="Times New Roman" w:cs="Times New Roman"/>
          <w:sz w:val="28"/>
          <w:szCs w:val="28"/>
        </w:rPr>
        <w:lastRenderedPageBreak/>
        <w:t>интервал между выпускными экзаменами должен быть не менее трех календарных дней.</w:t>
      </w:r>
    </w:p>
    <w:p w:rsidR="00CC68F7" w:rsidRPr="008B6F66" w:rsidRDefault="005C2EB9" w:rsidP="008B6F6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8B6F66">
        <w:rPr>
          <w:rFonts w:ascii="Times New Roman" w:hAnsi="Times New Roman" w:cs="Times New Roman"/>
          <w:sz w:val="28"/>
          <w:szCs w:val="28"/>
        </w:rPr>
        <w:t>.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730F0C" w:rsidRPr="008B6F66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CC68F7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 w:rsidR="00730F0C" w:rsidRPr="008B6F6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>»</w:t>
      </w:r>
      <w:r w:rsidR="002D38AC" w:rsidRPr="008B6F66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2D38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8B6F66" w:rsidRPr="00F77445">
        <w:rPr>
          <w:rFonts w:ascii="Times New Roman" w:hAnsi="Times New Roman" w:cs="Times New Roman"/>
          <w:sz w:val="28"/>
          <w:szCs w:val="28"/>
        </w:rPr>
        <w:t>«</w:t>
      </w:r>
      <w:r w:rsidR="008B6F66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8B6F6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, так и с привлечением профессиональных образовательных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</w:t>
      </w:r>
      <w:r w:rsidR="001C3721">
        <w:rPr>
          <w:rStyle w:val="FontStyle16"/>
          <w:sz w:val="28"/>
          <w:szCs w:val="28"/>
        </w:rPr>
        <w:t xml:space="preserve">музыкальной </w:t>
      </w:r>
      <w:r w:rsidRPr="00E200C7">
        <w:rPr>
          <w:rStyle w:val="FontStyle16"/>
          <w:sz w:val="28"/>
          <w:szCs w:val="28"/>
        </w:rPr>
        <w:t xml:space="preserve">школы.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2D38AC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4724E2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>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1C3721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AE" w:rsidRDefault="00A10CAE" w:rsidP="006837DE">
      <w:pPr>
        <w:spacing w:after="0" w:line="240" w:lineRule="auto"/>
      </w:pPr>
      <w:r>
        <w:separator/>
      </w:r>
    </w:p>
  </w:endnote>
  <w:endnote w:type="continuationSeparator" w:id="0">
    <w:p w:rsidR="00A10CAE" w:rsidRDefault="00A10CAE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AE" w:rsidRDefault="00A10CAE" w:rsidP="006837DE">
      <w:pPr>
        <w:spacing w:after="0" w:line="240" w:lineRule="auto"/>
      </w:pPr>
      <w:r>
        <w:separator/>
      </w:r>
    </w:p>
  </w:footnote>
  <w:footnote w:type="continuationSeparator" w:id="0">
    <w:p w:rsidR="00A10CAE" w:rsidRDefault="00A10CAE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502DC3" w:rsidRDefault="004B5B68">
        <w:pPr>
          <w:pStyle w:val="a6"/>
          <w:jc w:val="center"/>
        </w:pPr>
        <w:fldSimple w:instr="PAGE   \* MERGEFORMAT">
          <w:r w:rsidR="0096745F">
            <w:rPr>
              <w:noProof/>
            </w:rPr>
            <w:t>26</w:t>
          </w:r>
        </w:fldSimple>
      </w:p>
    </w:sdtContent>
  </w:sdt>
  <w:p w:rsidR="00502DC3" w:rsidRDefault="00502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multilevel"/>
    <w:tmpl w:val="EF24F3C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B77"/>
    <w:rsid w:val="00090308"/>
    <w:rsid w:val="000A00D4"/>
    <w:rsid w:val="000A5195"/>
    <w:rsid w:val="000E10CA"/>
    <w:rsid w:val="000E6E73"/>
    <w:rsid w:val="00105B5D"/>
    <w:rsid w:val="001122FD"/>
    <w:rsid w:val="00113AF9"/>
    <w:rsid w:val="00132D62"/>
    <w:rsid w:val="00167946"/>
    <w:rsid w:val="00170C19"/>
    <w:rsid w:val="00190E1B"/>
    <w:rsid w:val="001A0533"/>
    <w:rsid w:val="001A506B"/>
    <w:rsid w:val="001B3A2D"/>
    <w:rsid w:val="001C3721"/>
    <w:rsid w:val="001C788A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D1C57"/>
    <w:rsid w:val="002D38AC"/>
    <w:rsid w:val="002E27F6"/>
    <w:rsid w:val="0030162C"/>
    <w:rsid w:val="00301AA1"/>
    <w:rsid w:val="00340EF7"/>
    <w:rsid w:val="00366CB6"/>
    <w:rsid w:val="003965D6"/>
    <w:rsid w:val="003D696E"/>
    <w:rsid w:val="00416B78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A5F61"/>
    <w:rsid w:val="004B5B68"/>
    <w:rsid w:val="004E0D6C"/>
    <w:rsid w:val="004E6097"/>
    <w:rsid w:val="00502DC3"/>
    <w:rsid w:val="00504FA9"/>
    <w:rsid w:val="00533BEA"/>
    <w:rsid w:val="0057582F"/>
    <w:rsid w:val="00580567"/>
    <w:rsid w:val="0059377B"/>
    <w:rsid w:val="005C07E8"/>
    <w:rsid w:val="005C2EB9"/>
    <w:rsid w:val="005F62A6"/>
    <w:rsid w:val="006047BF"/>
    <w:rsid w:val="006272EE"/>
    <w:rsid w:val="006837DE"/>
    <w:rsid w:val="006B435A"/>
    <w:rsid w:val="006D1302"/>
    <w:rsid w:val="006D5BEF"/>
    <w:rsid w:val="00730F0C"/>
    <w:rsid w:val="0074298D"/>
    <w:rsid w:val="007803F7"/>
    <w:rsid w:val="007976E6"/>
    <w:rsid w:val="007D3D89"/>
    <w:rsid w:val="00841970"/>
    <w:rsid w:val="008538A9"/>
    <w:rsid w:val="00882C47"/>
    <w:rsid w:val="008B6F66"/>
    <w:rsid w:val="008F0647"/>
    <w:rsid w:val="00912431"/>
    <w:rsid w:val="0093191E"/>
    <w:rsid w:val="0096745F"/>
    <w:rsid w:val="00970B44"/>
    <w:rsid w:val="00972B5D"/>
    <w:rsid w:val="009840BF"/>
    <w:rsid w:val="009D5BD2"/>
    <w:rsid w:val="00A10CAE"/>
    <w:rsid w:val="00A137E7"/>
    <w:rsid w:val="00A318D4"/>
    <w:rsid w:val="00A405BC"/>
    <w:rsid w:val="00A55BEC"/>
    <w:rsid w:val="00A831BD"/>
    <w:rsid w:val="00AB6A21"/>
    <w:rsid w:val="00AD2E86"/>
    <w:rsid w:val="00AD4CAA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E668E"/>
    <w:rsid w:val="00BF2C25"/>
    <w:rsid w:val="00BF5A8B"/>
    <w:rsid w:val="00BF5D57"/>
    <w:rsid w:val="00C13199"/>
    <w:rsid w:val="00C279AF"/>
    <w:rsid w:val="00C44C1A"/>
    <w:rsid w:val="00C807F3"/>
    <w:rsid w:val="00CB607D"/>
    <w:rsid w:val="00CC68F7"/>
    <w:rsid w:val="00CD61CB"/>
    <w:rsid w:val="00CE34C4"/>
    <w:rsid w:val="00CF36D6"/>
    <w:rsid w:val="00D03E94"/>
    <w:rsid w:val="00D25D52"/>
    <w:rsid w:val="00D4510B"/>
    <w:rsid w:val="00D46C1A"/>
    <w:rsid w:val="00D73AE8"/>
    <w:rsid w:val="00D8056B"/>
    <w:rsid w:val="00DD6574"/>
    <w:rsid w:val="00E01C82"/>
    <w:rsid w:val="00E82D93"/>
    <w:rsid w:val="00EA037A"/>
    <w:rsid w:val="00EA08F9"/>
    <w:rsid w:val="00EA3030"/>
    <w:rsid w:val="00EA4E6A"/>
    <w:rsid w:val="00EB3612"/>
    <w:rsid w:val="00EB640E"/>
    <w:rsid w:val="00ED4BB7"/>
    <w:rsid w:val="00F0653C"/>
    <w:rsid w:val="00F30D51"/>
    <w:rsid w:val="00F357C6"/>
    <w:rsid w:val="00F35F48"/>
    <w:rsid w:val="00F43AC7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6618</Words>
  <Characters>37725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31</cp:revision>
  <dcterms:created xsi:type="dcterms:W3CDTF">2019-01-27T15:40:00Z</dcterms:created>
  <dcterms:modified xsi:type="dcterms:W3CDTF">2023-09-27T10:34:00Z</dcterms:modified>
</cp:coreProperties>
</file>