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6F6346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6F6346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6F6346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6F6346">
              <w:t>3</w:t>
            </w:r>
            <w:r>
              <w:t xml:space="preserve"> года № </w:t>
            </w:r>
            <w:r w:rsidR="002645CD">
              <w:t>1</w:t>
            </w:r>
            <w:r w:rsidR="006F6346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51270E">
        <w:rPr>
          <w:b/>
          <w:sz w:val="28"/>
          <w:szCs w:val="28"/>
        </w:rPr>
        <w:t>предшкольный</w:t>
      </w:r>
      <w:proofErr w:type="spellEnd"/>
      <w:r w:rsidR="0051270E">
        <w:rPr>
          <w:b/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proofErr w:type="spellStart"/>
      <w:r w:rsidR="0051270E">
        <w:rPr>
          <w:sz w:val="28"/>
          <w:szCs w:val="28"/>
        </w:rPr>
        <w:t>предшкольный</w:t>
      </w:r>
      <w:proofErr w:type="spellEnd"/>
      <w:r w:rsidR="0051270E">
        <w:rPr>
          <w:sz w:val="28"/>
          <w:szCs w:val="28"/>
        </w:rPr>
        <w:t xml:space="preserve"> модуль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proofErr w:type="spellStart"/>
      <w:r w:rsidR="002121C6">
        <w:rPr>
          <w:spacing w:val="3"/>
          <w:sz w:val="28"/>
          <w:szCs w:val="28"/>
        </w:rPr>
        <w:t>общеразвивающих</w:t>
      </w:r>
      <w:proofErr w:type="spellEnd"/>
      <w:r w:rsidR="002121C6">
        <w:rPr>
          <w:spacing w:val="3"/>
          <w:sz w:val="28"/>
          <w:szCs w:val="28"/>
        </w:rPr>
        <w:t xml:space="preserve">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51270E">
        <w:rPr>
          <w:rStyle w:val="FontStyle16"/>
          <w:sz w:val="28"/>
          <w:szCs w:val="28"/>
        </w:rPr>
        <w:t>по выбору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BA1EF7">
        <w:rPr>
          <w:sz w:val="28"/>
          <w:szCs w:val="28"/>
        </w:rPr>
        <w:t>поступления</w:t>
      </w:r>
      <w:r w:rsidR="007B759B" w:rsidRPr="00181328">
        <w:rPr>
          <w:sz w:val="28"/>
          <w:szCs w:val="28"/>
        </w:rPr>
        <w:t xml:space="preserve">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EB2104" w:rsidRDefault="00C85B4F" w:rsidP="0051270E">
      <w:pPr>
        <w:pStyle w:val="ab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возрасте </w:t>
      </w:r>
      <w:r w:rsidR="0051270E">
        <w:rPr>
          <w:rStyle w:val="FontStyle16"/>
          <w:sz w:val="28"/>
          <w:szCs w:val="28"/>
        </w:rPr>
        <w:t>пяти-</w:t>
      </w:r>
      <w:r w:rsidRPr="00E624B6">
        <w:rPr>
          <w:rStyle w:val="FontStyle16"/>
          <w:sz w:val="28"/>
          <w:szCs w:val="28"/>
        </w:rPr>
        <w:t xml:space="preserve"> шести лет </w:t>
      </w:r>
      <w:r>
        <w:rPr>
          <w:rStyle w:val="FontStyle16"/>
          <w:sz w:val="28"/>
          <w:szCs w:val="28"/>
        </w:rPr>
        <w:t>составля</w:t>
      </w:r>
      <w:r w:rsidR="0051270E"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т </w:t>
      </w:r>
      <w:r w:rsidR="0051270E">
        <w:rPr>
          <w:rStyle w:val="FontStyle16"/>
          <w:sz w:val="28"/>
          <w:szCs w:val="28"/>
        </w:rPr>
        <w:t>1-2</w:t>
      </w:r>
      <w:r>
        <w:rPr>
          <w:rStyle w:val="FontStyle16"/>
          <w:sz w:val="28"/>
          <w:szCs w:val="28"/>
        </w:rPr>
        <w:t xml:space="preserve"> года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«Музыкальное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</w:t>
      </w:r>
      <w:r w:rsidR="0051270E">
        <w:rPr>
          <w:sz w:val="28"/>
          <w:szCs w:val="28"/>
        </w:rPr>
        <w:t>у</w:t>
      </w:r>
      <w:r w:rsidR="00C67F62">
        <w:rPr>
          <w:sz w:val="28"/>
          <w:szCs w:val="28"/>
        </w:rPr>
        <w:t>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C67F62">
        <w:rPr>
          <w:sz w:val="28"/>
          <w:szCs w:val="28"/>
        </w:rPr>
        <w:t xml:space="preserve">Инструментальное </w:t>
      </w:r>
      <w:r>
        <w:rPr>
          <w:sz w:val="28"/>
          <w:szCs w:val="28"/>
        </w:rPr>
        <w:t>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lastRenderedPageBreak/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lastRenderedPageBreak/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созданию условий для перевода обучающихся, проявивших достаточный уровень знаний, умений и навыков, на соответствующую дополнительную </w:t>
      </w:r>
      <w:proofErr w:type="spellStart"/>
      <w:r>
        <w:rPr>
          <w:rStyle w:val="FontStyle16"/>
          <w:sz w:val="28"/>
          <w:szCs w:val="28"/>
        </w:rPr>
        <w:t>предпрофессиональную</w:t>
      </w:r>
      <w:proofErr w:type="spellEnd"/>
      <w:r>
        <w:rPr>
          <w:rStyle w:val="FontStyle16"/>
          <w:sz w:val="28"/>
          <w:szCs w:val="28"/>
        </w:rPr>
        <w:t xml:space="preserve">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C67F62">
        <w:rPr>
          <w:b/>
          <w:sz w:val="28"/>
          <w:szCs w:val="28"/>
        </w:rPr>
        <w:t>Инструменталь</w:t>
      </w:r>
      <w:r>
        <w:rPr>
          <w:b/>
          <w:sz w:val="28"/>
          <w:szCs w:val="28"/>
        </w:rPr>
        <w:t>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51270E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C67F62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 xml:space="preserve">при реализации </w:t>
      </w:r>
      <w:proofErr w:type="spellStart"/>
      <w:r w:rsidR="00735A59" w:rsidRPr="00181328">
        <w:rPr>
          <w:sz w:val="28"/>
          <w:szCs w:val="28"/>
        </w:rPr>
        <w:t>общеразвивающих</w:t>
      </w:r>
      <w:proofErr w:type="spellEnd"/>
      <w:r w:rsidR="00735A59" w:rsidRPr="00181328">
        <w:rPr>
          <w:sz w:val="28"/>
          <w:szCs w:val="28"/>
        </w:rPr>
        <w:t xml:space="preserve">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</w:t>
      </w:r>
      <w:r w:rsidR="00991ADF">
        <w:rPr>
          <w:sz w:val="28"/>
          <w:szCs w:val="28"/>
        </w:rPr>
        <w:lastRenderedPageBreak/>
        <w:t xml:space="preserve">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="0051270E">
        <w:rPr>
          <w:sz w:val="28"/>
          <w:szCs w:val="28"/>
        </w:rPr>
        <w:t>30</w:t>
      </w:r>
      <w:r w:rsidRPr="00181328">
        <w:rPr>
          <w:sz w:val="28"/>
          <w:szCs w:val="28"/>
        </w:rPr>
        <w:t xml:space="preserve">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proofErr w:type="spellStart"/>
      <w:r w:rsidR="00BD4A66">
        <w:rPr>
          <w:rStyle w:val="FontStyle108"/>
          <w:sz w:val="28"/>
          <w:szCs w:val="28"/>
        </w:rPr>
        <w:t>предпрофессиональных</w:t>
      </w:r>
      <w:proofErr w:type="spellEnd"/>
      <w:r w:rsidR="00BD4A66">
        <w:rPr>
          <w:rStyle w:val="FontStyle108"/>
          <w:sz w:val="28"/>
          <w:szCs w:val="28"/>
        </w:rPr>
        <w:t xml:space="preserve"> и </w:t>
      </w:r>
      <w:proofErr w:type="spellStart"/>
      <w:r w:rsidR="00BD4A66">
        <w:rPr>
          <w:rStyle w:val="FontStyle108"/>
          <w:sz w:val="28"/>
          <w:szCs w:val="28"/>
        </w:rPr>
        <w:t>общеразвивающих</w:t>
      </w:r>
      <w:proofErr w:type="spellEnd"/>
      <w:r w:rsidR="00BD4A66">
        <w:rPr>
          <w:rStyle w:val="FontStyle108"/>
          <w:sz w:val="28"/>
          <w:szCs w:val="28"/>
        </w:rPr>
        <w:t xml:space="preserve">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Качество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Финансирование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</w:t>
      </w:r>
      <w:r w:rsidRPr="00181328">
        <w:rPr>
          <w:sz w:val="28"/>
          <w:szCs w:val="28"/>
        </w:rPr>
        <w:lastRenderedPageBreak/>
        <w:t xml:space="preserve">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</w:t>
      </w:r>
      <w:proofErr w:type="spellStart"/>
      <w:r w:rsidR="007F4201" w:rsidRPr="00181328">
        <w:rPr>
          <w:sz w:val="28"/>
          <w:szCs w:val="28"/>
        </w:rPr>
        <w:t>предпрофессиональным</w:t>
      </w:r>
      <w:proofErr w:type="spellEnd"/>
      <w:r w:rsidR="007F4201" w:rsidRPr="00181328">
        <w:rPr>
          <w:sz w:val="28"/>
          <w:szCs w:val="28"/>
        </w:rPr>
        <w:t xml:space="preserve">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</w:t>
      </w:r>
      <w:proofErr w:type="spellStart"/>
      <w:r w:rsidRPr="00181328">
        <w:rPr>
          <w:sz w:val="28"/>
          <w:szCs w:val="28"/>
        </w:rPr>
        <w:t>видеозал</w:t>
      </w:r>
      <w:r w:rsidR="00174D2D" w:rsidRPr="00181328">
        <w:rPr>
          <w:sz w:val="28"/>
          <w:szCs w:val="28"/>
        </w:rPr>
        <w:t>ов</w:t>
      </w:r>
      <w:proofErr w:type="spellEnd"/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</w:t>
      </w:r>
      <w:r w:rsidRPr="00181328">
        <w:rPr>
          <w:sz w:val="28"/>
          <w:szCs w:val="28"/>
        </w:rPr>
        <w:lastRenderedPageBreak/>
        <w:t xml:space="preserve">учебного </w:t>
      </w:r>
      <w:r w:rsidR="0040695D" w:rsidRPr="00181328">
        <w:rPr>
          <w:sz w:val="28"/>
          <w:szCs w:val="28"/>
        </w:rPr>
        <w:t>оборудования.</w:t>
      </w: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3A31E3">
      <w:pPr>
        <w:jc w:val="center"/>
      </w:pPr>
    </w:p>
    <w:sectPr w:rsidR="009277FA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65" w:rsidRDefault="00FB0765">
      <w:r>
        <w:separator/>
      </w:r>
    </w:p>
  </w:endnote>
  <w:endnote w:type="continuationSeparator" w:id="0">
    <w:p w:rsidR="00FB0765" w:rsidRDefault="00FB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A01D0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346">
      <w:rPr>
        <w:rStyle w:val="a8"/>
        <w:noProof/>
      </w:rPr>
      <w:t>10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A01D0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346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65" w:rsidRDefault="00FB0765">
      <w:r>
        <w:separator/>
      </w:r>
    </w:p>
  </w:footnote>
  <w:footnote w:type="continuationSeparator" w:id="0">
    <w:p w:rsidR="00FB0765" w:rsidRDefault="00FB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A01D0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6F6346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08ED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261A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31E3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2368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1270E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0448A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003C"/>
    <w:rsid w:val="006E6C44"/>
    <w:rsid w:val="006F0B10"/>
    <w:rsid w:val="006F1EE9"/>
    <w:rsid w:val="006F4561"/>
    <w:rsid w:val="006F5CF8"/>
    <w:rsid w:val="006F6346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1695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277FA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8149D"/>
    <w:rsid w:val="009912B5"/>
    <w:rsid w:val="009917CF"/>
    <w:rsid w:val="00991ADF"/>
    <w:rsid w:val="00994F12"/>
    <w:rsid w:val="009A01D0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4BB5"/>
    <w:rsid w:val="00A676C4"/>
    <w:rsid w:val="00A712AE"/>
    <w:rsid w:val="00A752B5"/>
    <w:rsid w:val="00A829BD"/>
    <w:rsid w:val="00A8341A"/>
    <w:rsid w:val="00A919F4"/>
    <w:rsid w:val="00A937CD"/>
    <w:rsid w:val="00AA5EC3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73A7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1EF7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28B7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0765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EFBC-29CC-482D-BFEE-B5F890B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21</cp:revision>
  <cp:lastPrinted>2013-10-21T12:47:00Z</cp:lastPrinted>
  <dcterms:created xsi:type="dcterms:W3CDTF">2019-01-18T19:28:00Z</dcterms:created>
  <dcterms:modified xsi:type="dcterms:W3CDTF">2023-09-27T10:39:00Z</dcterms:modified>
</cp:coreProperties>
</file>